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bidi w:val="0"/>
        <w:rPr>
          <w:rFonts w:hint="eastAsia"/>
          <w:color w:val="auto"/>
          <w:highlight w:val="none"/>
        </w:rPr>
      </w:pPr>
      <w:bookmarkStart w:id="29" w:name="_GoBack"/>
      <w:bookmarkEnd w:id="29"/>
      <w:r>
        <w:rPr>
          <w:rFonts w:hint="eastAsia"/>
          <w:color w:val="auto"/>
          <w:highlight w:val="none"/>
        </w:rPr>
        <w:t>采购项目需求</w:t>
      </w:r>
    </w:p>
    <w:p>
      <w:pPr>
        <w:widowControl/>
        <w:shd w:val="clear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0" w:name="_Toc29760"/>
      <w:bookmarkStart w:id="1" w:name="_Toc24830"/>
      <w:bookmarkStart w:id="2" w:name="_Toc15400"/>
      <w:bookmarkStart w:id="3" w:name="_Toc19132"/>
      <w:bookmarkStart w:id="4" w:name="_Toc11895"/>
      <w:r>
        <w:rPr>
          <w:rFonts w:hint="eastAsia" w:ascii="宋体" w:hAnsi="宋体"/>
          <w:b/>
          <w:bCs/>
          <w:color w:val="auto"/>
          <w:sz w:val="24"/>
          <w:highlight w:val="none"/>
        </w:rPr>
        <w:t>（一）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响应供应商须提供全新、原装，并符合质量标准的货物及服务。</w:t>
      </w:r>
      <w:bookmarkEnd w:id="0"/>
      <w:bookmarkEnd w:id="1"/>
      <w:bookmarkEnd w:id="2"/>
      <w:bookmarkEnd w:id="3"/>
      <w:bookmarkEnd w:id="4"/>
    </w:p>
    <w:p>
      <w:pPr>
        <w:widowControl/>
        <w:shd w:val="clear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5" w:name="_Toc31584"/>
      <w:bookmarkStart w:id="6" w:name="_Toc4905"/>
      <w:bookmarkStart w:id="7" w:name="_Toc1366"/>
      <w:bookmarkStart w:id="8" w:name="_Toc32399"/>
      <w:bookmarkStart w:id="9" w:name="_Toc25556"/>
      <w:r>
        <w:rPr>
          <w:rFonts w:hint="eastAsia" w:ascii="宋体" w:hAnsi="宋体"/>
          <w:b/>
          <w:bCs/>
          <w:color w:val="auto"/>
          <w:sz w:val="24"/>
          <w:highlight w:val="none"/>
        </w:rPr>
        <w:t>（二）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本项目</w:t>
      </w:r>
      <w:r>
        <w:rPr>
          <w:rFonts w:hint="eastAsia" w:ascii="宋体" w:hAnsi="宋体"/>
          <w:color w:val="auto"/>
          <w:sz w:val="24"/>
          <w:highlight w:val="none"/>
        </w:rPr>
        <w:t>所响应货物须提供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4"/>
          <w:highlight w:val="none"/>
        </w:rPr>
        <w:t>年及以上的质保期（货物另有超过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一</w:t>
      </w:r>
      <w:r>
        <w:rPr>
          <w:rFonts w:hint="eastAsia" w:ascii="宋体" w:hAnsi="宋体"/>
          <w:color w:val="auto"/>
          <w:sz w:val="24"/>
          <w:highlight w:val="none"/>
        </w:rPr>
        <w:t>年规定的按其规定执行）。</w:t>
      </w:r>
      <w:bookmarkEnd w:id="5"/>
      <w:bookmarkEnd w:id="6"/>
      <w:bookmarkEnd w:id="7"/>
      <w:bookmarkEnd w:id="8"/>
      <w:bookmarkEnd w:id="9"/>
    </w:p>
    <w:p>
      <w:pPr>
        <w:widowControl/>
        <w:shd w:val="clear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10" w:name="_Toc11041"/>
      <w:bookmarkStart w:id="11" w:name="_Toc10725"/>
      <w:bookmarkStart w:id="12" w:name="_Toc3521"/>
      <w:bookmarkStart w:id="13" w:name="_Toc13139"/>
      <w:bookmarkStart w:id="14" w:name="_Toc31686"/>
      <w:r>
        <w:rPr>
          <w:rFonts w:hint="eastAsia" w:ascii="宋体" w:hAnsi="宋体"/>
          <w:b/>
          <w:bCs/>
          <w:color w:val="auto"/>
          <w:sz w:val="24"/>
          <w:highlight w:val="none"/>
        </w:rPr>
        <w:t>（三）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货物如为某单位的专利或特有产品，请响应供应商在答疑期内告知政府采购代理机构。</w:t>
      </w:r>
      <w:bookmarkEnd w:id="10"/>
      <w:bookmarkEnd w:id="11"/>
      <w:bookmarkEnd w:id="12"/>
      <w:bookmarkEnd w:id="13"/>
      <w:bookmarkEnd w:id="14"/>
    </w:p>
    <w:p>
      <w:pPr>
        <w:widowControl/>
        <w:shd w:val="clear"/>
        <w:adjustRightInd w:val="0"/>
        <w:snapToGrid w:val="0"/>
        <w:spacing w:line="360" w:lineRule="auto"/>
        <w:outlineLvl w:val="0"/>
        <w:rPr>
          <w:rFonts w:ascii="宋体" w:hAnsi="宋体"/>
          <w:color w:val="auto"/>
          <w:sz w:val="24"/>
          <w:highlight w:val="none"/>
        </w:rPr>
      </w:pPr>
      <w:bookmarkStart w:id="15" w:name="_Toc28488"/>
      <w:bookmarkStart w:id="16" w:name="_Toc23063"/>
      <w:bookmarkStart w:id="17" w:name="_Toc9274"/>
      <w:bookmarkStart w:id="18" w:name="_Toc13274"/>
      <w:bookmarkStart w:id="19" w:name="_Toc23938"/>
      <w:r>
        <w:rPr>
          <w:rFonts w:hint="eastAsia" w:ascii="宋体" w:hAnsi="宋体"/>
          <w:b/>
          <w:bCs/>
          <w:color w:val="auto"/>
          <w:sz w:val="24"/>
          <w:highlight w:val="none"/>
        </w:rPr>
        <w:t>（四）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所有货物的知识产权问题，由各响应供应商自行负责。</w:t>
      </w:r>
      <w:bookmarkEnd w:id="15"/>
      <w:bookmarkEnd w:id="16"/>
      <w:bookmarkEnd w:id="17"/>
      <w:bookmarkEnd w:id="18"/>
      <w:bookmarkEnd w:id="19"/>
    </w:p>
    <w:p>
      <w:pPr>
        <w:widowControl/>
        <w:shd w:val="clear"/>
        <w:adjustRightInd w:val="0"/>
        <w:snapToGrid w:val="0"/>
        <w:spacing w:line="360" w:lineRule="auto"/>
        <w:outlineLvl w:val="0"/>
        <w:rPr>
          <w:rFonts w:hint="eastAsia" w:ascii="宋体" w:hAnsi="宋体"/>
          <w:color w:val="auto"/>
          <w:sz w:val="24"/>
          <w:highlight w:val="none"/>
        </w:rPr>
      </w:pPr>
      <w:bookmarkStart w:id="20" w:name="_Toc29089"/>
      <w:bookmarkStart w:id="21" w:name="_Toc3702"/>
      <w:bookmarkStart w:id="22" w:name="_Toc6645"/>
      <w:bookmarkStart w:id="23" w:name="_Toc4141"/>
      <w:bookmarkStart w:id="24" w:name="_Toc10697"/>
      <w:r>
        <w:rPr>
          <w:rFonts w:hint="eastAsia" w:ascii="宋体" w:hAnsi="宋体"/>
          <w:b/>
          <w:bCs/>
          <w:color w:val="auto"/>
          <w:sz w:val="24"/>
          <w:highlight w:val="none"/>
        </w:rPr>
        <w:t>（五）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本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招标文件</w:t>
      </w:r>
      <w:r>
        <w:rPr>
          <w:rFonts w:hint="eastAsia" w:ascii="宋体" w:hAnsi="宋体"/>
          <w:color w:val="auto"/>
          <w:sz w:val="24"/>
          <w:highlight w:val="none"/>
        </w:rPr>
        <w:t>提出的是最低限度的要求，响应供应商的方案应达到或优于本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招标文件</w:t>
      </w:r>
      <w:r>
        <w:rPr>
          <w:rFonts w:hint="eastAsia" w:ascii="宋体" w:hAnsi="宋体"/>
          <w:color w:val="auto"/>
          <w:sz w:val="24"/>
          <w:highlight w:val="none"/>
        </w:rPr>
        <w:t>要求，且符合国家有关标准和规范要求。</w:t>
      </w:r>
      <w:bookmarkEnd w:id="20"/>
      <w:bookmarkEnd w:id="21"/>
      <w:bookmarkEnd w:id="22"/>
      <w:bookmarkEnd w:id="23"/>
      <w:bookmarkEnd w:id="24"/>
    </w:p>
    <w:p>
      <w:pPr>
        <w:widowControl/>
        <w:shd w:val="clear"/>
        <w:adjustRightInd w:val="0"/>
        <w:snapToGrid w:val="0"/>
        <w:spacing w:line="360" w:lineRule="auto"/>
        <w:outlineLvl w:val="0"/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</w:pPr>
      <w:bookmarkStart w:id="25" w:name="_Toc10573"/>
      <w:bookmarkStart w:id="26" w:name="_Toc31831"/>
      <w:bookmarkStart w:id="27" w:name="_Toc18327"/>
      <w:bookmarkStart w:id="28" w:name="_Toc8549"/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）、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技术参数及安装清单：</w:t>
      </w:r>
      <w:bookmarkEnd w:id="25"/>
      <w:bookmarkEnd w:id="26"/>
      <w:bookmarkEnd w:id="27"/>
      <w:bookmarkEnd w:id="28"/>
    </w:p>
    <w:tbl>
      <w:tblPr>
        <w:tblStyle w:val="5"/>
        <w:tblW w:w="974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崇义县城区道路交通设施实施计划表</w:t>
            </w:r>
          </w:p>
        </w:tc>
      </w:tr>
    </w:tbl>
    <w:p>
      <w:pPr>
        <w:shd w:val="clear"/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0" w:num="1"/>
          <w:docGrid w:type="lines" w:linePitch="314" w:charSpace="0"/>
        </w:sectPr>
      </w:pPr>
    </w:p>
    <w:tbl>
      <w:tblPr>
        <w:tblStyle w:val="5"/>
        <w:tblW w:w="134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976"/>
        <w:gridCol w:w="3129"/>
        <w:gridCol w:w="913"/>
        <w:gridCol w:w="791"/>
        <w:gridCol w:w="6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具体路段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崇义县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迎宾大道（迎宾大道高速入口三角带至检察院红绿灯）道路中央隔离护栏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9610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6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护栏：立柱采用热镀锌钢，总高度1250mm，立柱使用80*40*1.5双拼立柱。每片长3080mm，主体为黄金色，中间14条竖杆，间隔均等;护栏型材采用热镀锌型材，上横梁截面为面包管50*40*1.2mm，下横梁截面为椭圆管为55*30*1.2mm，竖杆截面为梅花管50*30*1.0mm,横杆与竖杆之间采用氩弧焊接完整，上、下横杆间距860mm,上横梁离地面高1140mm，下横梁离地面高280mm。护栏竖杆中部采用穿插焊接55*30椭圆管作造型管，排放比例根如图所示。焊接完成后护栏片整体采用静电喷涂工艺(喷涂层达到90微米);喷涂颜色为黄色，使用阿克苏粉末，护栏构件喷涂层应均匀，色泽统一，表面光滑、平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（2）、边柱帽：采用金属冲压件二次冲压成型，定制型当地文化帽盖。美观牢固，整体平滑。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（3）、轮廓标：采用标架为钢制一体成形侧向式反光标记 190*45mm，钢制基座颜色与护栏片颜色一致，高强度反光晶格片使用拉铆镶嵌后平直、整齐、牢固不变形。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）、护栏片整体：无疤斑、无滴流、无明显凹凸、无熔渣；不得有剥落、气泡、裂纹、擦伤等表面缺陷；型材端部应打磨、去毛刺。保质期内护栏整体不得因技术质量出现锈迹、裂痕、脱漆（机械清洗车自动清洗不掉漆）和明显褪色，否则被视为不符合需求产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（5）、护栏底座：尺寸为400*300*150铸铁底座，地钉孔位必须预留准确通畅。每粒30公斤±0.5公斤。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注：护栏图纸详见下列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图1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振兴大道（人民路以南）道路中央隔离护栏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滨江北大道(北门老桥往西路段）道路中央隔离护栏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齐云山大道道路中央隔离护栏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沿江路道路中央隔离护栏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人民路道路中央隔离护栏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文竹路道路中央隔离护栏</w:t>
            </w: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防撞桶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3725545</wp:posOffset>
                  </wp:positionH>
                  <wp:positionV relativeFrom="paragraph">
                    <wp:posOffset>101600</wp:posOffset>
                  </wp:positionV>
                  <wp:extent cx="423545" cy="618490"/>
                  <wp:effectExtent l="0" t="0" r="14605" b="10160"/>
                  <wp:wrapNone/>
                  <wp:docPr id="1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吹塑防撞桶，高700mm 直径400mm，2mm厚度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斑马线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宽0.4m，热熔反光型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掉头、行人过马路等标牌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6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3696970</wp:posOffset>
                  </wp:positionH>
                  <wp:positionV relativeFrom="paragraph">
                    <wp:posOffset>18415</wp:posOffset>
                  </wp:positionV>
                  <wp:extent cx="590550" cy="586105"/>
                  <wp:effectExtent l="0" t="0" r="0" b="4445"/>
                  <wp:wrapNone/>
                  <wp:docPr id="4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掉头标牌：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1、钢管立柱：φ76*3.5*3000mm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2、标志板：600*600*2mm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3、版面贴 II 类反光膜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行人过马路标牌：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钢管立柱：φ76*3.5*3000mm3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标志板：600*600*2mm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71500" cy="647700"/>
                  <wp:effectExtent l="0" t="0" r="0" b="0"/>
                  <wp:docPr id="5" name="图片 5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3、版面贴 II 类反光膜</w:t>
            </w:r>
          </w:p>
        </w:tc>
      </w:tr>
    </w:tbl>
    <w:p>
      <w:r>
        <w:rPr>
          <w:rFonts w:hint="eastAsia"/>
          <w:color w:val="auto"/>
          <w:highlight w:val="none"/>
          <w:lang w:val="en-US" w:eastAsia="zh-CN"/>
        </w:rPr>
        <w:t>图1</w:t>
      </w:r>
      <w:r>
        <w:rPr>
          <w:color w:val="auto"/>
          <w:highlight w:val="none"/>
        </w:rPr>
        <w:drawing>
          <wp:inline distT="0" distB="0" distL="114300" distR="114300">
            <wp:extent cx="5470525" cy="7834630"/>
            <wp:effectExtent l="0" t="0" r="13970" b="15875"/>
            <wp:docPr id="24" name="图片 1" descr="9079222d9128a350fd16c80f1eadd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 descr="9079222d9128a350fd16c80f1eaddf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5470525" cy="7834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34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ascii="宋体" w:hAnsi="宋体" w:eastAsia="宋体" w:cs="宋体"/>
        <w:sz w:val="24"/>
        <w:szCs w:val="24"/>
        <w:lang w:eastAsia="zh-CN"/>
      </w:rPr>
    </w:pPr>
    <w:r>
      <w:rPr>
        <w:rFonts w:hint="eastAsia" w:ascii="宋体" w:hAnsi="宋体" w:eastAsia="宋体" w:cs="宋体"/>
        <w:sz w:val="24"/>
        <w:szCs w:val="24"/>
        <w:lang w:eastAsia="zh-CN"/>
      </w:rPr>
      <w:drawing>
        <wp:inline distT="0" distB="0" distL="114300" distR="114300">
          <wp:extent cx="647065" cy="302260"/>
          <wp:effectExtent l="0" t="0" r="635" b="2540"/>
          <wp:docPr id="2" name="图片 2" descr="中兴豫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兴豫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065" cy="3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z w:val="24"/>
        <w:szCs w:val="24"/>
        <w:lang w:eastAsia="zh-CN"/>
      </w:rPr>
      <w:t>中兴豫建设管理有限公司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4"/>
        <w:szCs w:val="24"/>
      </w:rPr>
      <w:t xml:space="preserve">      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 xml:space="preserve">        </w:t>
    </w:r>
    <w:r>
      <w:rPr>
        <w:rFonts w:hint="eastAsia" w:ascii="宋体" w:hAnsi="宋体" w:eastAsia="宋体" w:cs="宋体"/>
        <w:sz w:val="24"/>
        <w:szCs w:val="24"/>
        <w:lang w:eastAsia="zh-CN"/>
      </w:rPr>
      <w:t>电子化公开招标文件ZXY2021-CY-G002-1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78F46"/>
    <w:multiLevelType w:val="singleLevel"/>
    <w:tmpl w:val="B1378F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22D49C7"/>
    <w:multiLevelType w:val="singleLevel"/>
    <w:tmpl w:val="722D49C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26B50"/>
    <w:rsid w:val="2BF96576"/>
    <w:rsid w:val="5AD2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2"/>
    <w:basedOn w:val="1"/>
    <w:next w:val="1"/>
    <w:qFormat/>
    <w:uiPriority w:val="99"/>
    <w:pPr>
      <w:keepNext/>
      <w:keepLines/>
      <w:spacing w:before="260" w:after="260" w:line="413" w:lineRule="auto"/>
      <w:ind w:firstLine="628"/>
      <w:jc w:val="center"/>
    </w:pPr>
    <w:rPr>
      <w:rFonts w:ascii="Arial" w:hAnsi="Arial" w:eastAsia="黑体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2021-11-08T02:38:00Z</dcterms:created>
  <dc:creator>谢艾佳</dc:creator>
  <cp:lastModifiedBy>Admin</cp:lastModifiedBy>
  <dcterms:modified xsi:type="dcterms:W3CDTF">2021-11-09T01:09:45Z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21DA22B4F8874015B5F2670FB09342B0</vt:lpwstr>
  </property>
</Properties>
</file>