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bidi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采购项目需求</w:t>
      </w:r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0" w:name="_Toc19132"/>
      <w:bookmarkStart w:id="1" w:name="_Toc24830"/>
      <w:bookmarkStart w:id="2" w:name="_Toc15400"/>
      <w:bookmarkStart w:id="3" w:name="_Toc11895"/>
      <w:bookmarkStart w:id="4" w:name="_Toc1630"/>
      <w:r>
        <w:rPr>
          <w:rFonts w:hint="eastAsia" w:ascii="宋体" w:hAnsi="宋体"/>
          <w:b/>
          <w:bCs/>
          <w:color w:val="auto"/>
          <w:sz w:val="24"/>
          <w:highlight w:val="none"/>
        </w:rPr>
        <w:t>（一）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须提供全新、原装，并符合质量标准的货物及服务。</w:t>
      </w:r>
      <w:bookmarkEnd w:id="0"/>
      <w:bookmarkEnd w:id="1"/>
      <w:bookmarkEnd w:id="2"/>
      <w:bookmarkEnd w:id="3"/>
      <w:bookmarkEnd w:id="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5" w:name="_Toc25556"/>
      <w:bookmarkStart w:id="6" w:name="_Toc32658"/>
      <w:bookmarkStart w:id="7" w:name="_Toc1366"/>
      <w:bookmarkStart w:id="8" w:name="_Toc31584"/>
      <w:bookmarkStart w:id="9" w:name="_Toc32399"/>
      <w:r>
        <w:rPr>
          <w:rFonts w:hint="eastAsia" w:ascii="宋体" w:hAnsi="宋体"/>
          <w:b/>
          <w:bCs/>
          <w:color w:val="auto"/>
          <w:sz w:val="24"/>
          <w:highlight w:val="none"/>
        </w:rPr>
        <w:t>（二）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本项目品目一、品目二</w:t>
      </w:r>
      <w:r>
        <w:rPr>
          <w:rFonts w:hint="eastAsia" w:ascii="宋体" w:hAnsi="宋体"/>
          <w:color w:val="auto"/>
          <w:sz w:val="24"/>
          <w:highlight w:val="none"/>
        </w:rPr>
        <w:t>所响应货物须提供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年及以上的质保期（货物另有超过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年规定的按其规定执行）。</w:t>
      </w:r>
      <w:bookmarkEnd w:id="5"/>
      <w:bookmarkEnd w:id="6"/>
      <w:bookmarkEnd w:id="7"/>
      <w:bookmarkEnd w:id="8"/>
      <w:bookmarkEnd w:id="9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0" w:name="_Toc10725"/>
      <w:bookmarkStart w:id="11" w:name="_Toc3521"/>
      <w:bookmarkStart w:id="12" w:name="_Toc13139"/>
      <w:bookmarkStart w:id="13" w:name="_Toc31686"/>
      <w:bookmarkStart w:id="14" w:name="_Toc30862"/>
      <w:r>
        <w:rPr>
          <w:rFonts w:hint="eastAsia" w:ascii="宋体" w:hAnsi="宋体"/>
          <w:b/>
          <w:bCs/>
          <w:color w:val="auto"/>
          <w:sz w:val="24"/>
          <w:highlight w:val="none"/>
        </w:rPr>
        <w:t>（三）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货物如为某单位的专利或特有产品，请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在答疑期内告知政府采购代理机构。</w:t>
      </w:r>
      <w:bookmarkEnd w:id="10"/>
      <w:bookmarkEnd w:id="11"/>
      <w:bookmarkEnd w:id="12"/>
      <w:bookmarkEnd w:id="13"/>
      <w:bookmarkEnd w:id="1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5" w:name="_Toc9274"/>
      <w:bookmarkStart w:id="16" w:name="_Toc13274"/>
      <w:bookmarkStart w:id="17" w:name="_Toc2305"/>
      <w:bookmarkStart w:id="18" w:name="_Toc28488"/>
      <w:bookmarkStart w:id="19" w:name="_Toc23938"/>
      <w:r>
        <w:rPr>
          <w:rFonts w:hint="eastAsia" w:ascii="宋体" w:hAnsi="宋体"/>
          <w:b/>
          <w:bCs/>
          <w:color w:val="auto"/>
          <w:sz w:val="24"/>
          <w:highlight w:val="none"/>
        </w:rPr>
        <w:t>（四）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所有货物的知识产权问题，由各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自行负责。</w:t>
      </w:r>
      <w:bookmarkEnd w:id="15"/>
      <w:bookmarkEnd w:id="16"/>
      <w:bookmarkEnd w:id="17"/>
      <w:bookmarkEnd w:id="18"/>
      <w:bookmarkEnd w:id="19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 w:val="24"/>
          <w:highlight w:val="none"/>
        </w:rPr>
      </w:pPr>
      <w:bookmarkStart w:id="20" w:name="_Toc29089"/>
      <w:bookmarkStart w:id="21" w:name="_Toc3702"/>
      <w:bookmarkStart w:id="22" w:name="_Toc6645"/>
      <w:bookmarkStart w:id="23" w:name="_Toc4141"/>
      <w:bookmarkStart w:id="24" w:name="_Toc10723"/>
      <w:r>
        <w:rPr>
          <w:rFonts w:hint="eastAsia" w:ascii="宋体" w:hAnsi="宋体"/>
          <w:b/>
          <w:bCs/>
          <w:color w:val="auto"/>
          <w:sz w:val="24"/>
          <w:highlight w:val="none"/>
        </w:rPr>
        <w:t>（五）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提出的是最低限度的要求，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投标人</w:t>
      </w:r>
      <w:r>
        <w:rPr>
          <w:rFonts w:hint="eastAsia" w:ascii="宋体" w:hAnsi="宋体"/>
          <w:color w:val="auto"/>
          <w:sz w:val="24"/>
          <w:highlight w:val="none"/>
        </w:rPr>
        <w:t>的方案应达到或优于本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要求，且符合国家有关标准和规范要求。</w:t>
      </w:r>
      <w:bookmarkEnd w:id="20"/>
      <w:bookmarkEnd w:id="21"/>
      <w:bookmarkEnd w:id="22"/>
      <w:bookmarkEnd w:id="23"/>
      <w:bookmarkEnd w:id="24"/>
    </w:p>
    <w:p>
      <w:pPr>
        <w:widowControl/>
        <w:shd w:val="clear" w:color="auto" w:fill="auto"/>
        <w:adjustRightInd w:val="0"/>
        <w:snapToGrid w:val="0"/>
        <w:spacing w:line="360" w:lineRule="auto"/>
        <w:outlineLvl w:val="0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bookmarkStart w:id="25" w:name="_Toc10573"/>
      <w:bookmarkStart w:id="26" w:name="_Toc31831"/>
      <w:bookmarkStart w:id="27" w:name="_Toc18327"/>
      <w:bookmarkStart w:id="28" w:name="_Toc17207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）、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技术参数及清单：</w:t>
      </w:r>
      <w:bookmarkEnd w:id="25"/>
      <w:bookmarkEnd w:id="26"/>
      <w:bookmarkEnd w:id="27"/>
      <w:bookmarkEnd w:id="28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bookmarkStart w:id="29" w:name="_Toc27456"/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品目一技术参数及清单：</w:t>
      </w:r>
      <w:bookmarkEnd w:id="29"/>
    </w:p>
    <w:tbl>
      <w:tblPr>
        <w:tblStyle w:val="3"/>
        <w:tblW w:w="9617" w:type="dxa"/>
        <w:tblInd w:w="102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244"/>
        <w:gridCol w:w="6208"/>
        <w:gridCol w:w="784"/>
        <w:gridCol w:w="77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0" w:name="_Toc8008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序号</w:t>
            </w:r>
            <w:bookmarkEnd w:id="30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1" w:name="_Toc9783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产品名称</w:t>
            </w:r>
            <w:bookmarkEnd w:id="31"/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</w:pPr>
            <w:bookmarkStart w:id="32" w:name="_Toc29190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技术规格</w:t>
            </w:r>
            <w:bookmarkEnd w:id="32"/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bookmarkStart w:id="33" w:name="_Toc20406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参数</w:t>
            </w:r>
            <w:bookmarkEnd w:id="33"/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4" w:name="_Toc2689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单位</w:t>
            </w:r>
            <w:bookmarkEnd w:id="34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5" w:name="_Toc22780"/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数量</w:t>
            </w:r>
            <w:bookmarkEnd w:id="35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6" w:name="_Toc16807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1</w:t>
            </w:r>
            <w:bookmarkEnd w:id="36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  <w:t>三分类果壳箱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尺寸：长：960宽：450高：1100mm</w:t>
            </w:r>
            <w:r>
              <w:rPr>
                <w:rFonts w:hint="default"/>
                <w:lang w:val="en-US" w:eastAsia="zh-CN"/>
              </w:rPr>
              <w:t>（±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mm）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箱体制造工艺及喷涂：产品工艺优良，为提升产品工艺性，采用钣金模具冲压与ABS工程塑料注塑配件装配而成，箱体整体无焊点，无需打磨，生产效率高，标准化装配工艺可控；厚度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1.0mm的优质镀锌钢板，采用粉末喷涂，户外环境下10年不风化，不褪色，不变色；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顶盖：厚度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1.0mm的优质镀锌钢板，采用粉末喷涂，户外环境下10年不风化，不褪色，不变色，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果壳箱投口：大投口外形尺寸为：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288*202*75mm，中投口尺寸：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375X202X30mm，小投口尺寸为：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180X175X50mm，投口为镜面黑色；加大的注塑ABS工程塑料投口，更加人性化，投放更方便，投口上方配有可安装拆解反光片，反光片根据垃圾种类不同，提供相应的颜色，夜间提示果壳箱位置方便夜晚投放垃圾；产品预留了可安装纸类，瓶罐类，其他垃圾类的异形投口封板安装支架；产品提供投口门板的安装结构，可做密闭式投口，防止苍蝇蚊虫；投口处提供安装电子元器件的结构，可升级为自动开门投口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果壳箱烟灰投口：外形尺寸为：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140*260*20mm外壳为注塑ABS工程塑料制造，镜面黑色，采用螺丝安装固定在果壳箱上，无需焊接打磨，产品工艺优良；投口面板采用厚度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1.2mm的不锈钢激光切割配件，采用螺丝安装方式，可更换；烟缸上注塑成型不干胶标识凹槽，防止标识脱落。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箱门：采用厚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1.0mm高强度镀锌板材模具冲压而成，冲压门板凸出尺寸：宽22mm，高45mm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±2mm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，方便各种容积的果壳箱定制，门板上有加强筋，能增强门板的抗冲击力和抗形变能力，门板关门处，户外不褪色，不变色，耐擦洗，经久耐用。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五金配件：采用果壳箱防盗专用三角锁，铁质通用钥匙，锁闭牢靠，统一通配的钥匙，方便管理；门锁拉手采用塑料拉环，具有防滑功能；不锈钢合页，坚固耐用，不易腐蚀。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底座：厚度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1.0mm的加强优质镀锌钢板，采用粉末喷涂，户外环境下10年不风化，不褪色，不变色。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箱体内底板：厚度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1.0mm的加强优质镀锌钢板，与箱体使用合页式连接，方便清洗，密闭性能好；采用粉末喷涂，户外环境下10年不风化，不褪色，不变色。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果壳箱内桶：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0.4mm锌钢板内胆，具有防腐、阻燃、不变形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支持外观图案定制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外观图案中标后由采购人提供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样品：开标时需提供与技术参数相符的原色(不添加任何颜料)样品一个；样品须用标签贴注明投标单位名称,字样及图案样品不作要求；中标单位的样品由采购单位封存作为验收依据，未中标的样品现场原样退回。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7" w:name="_Toc29629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个</w:t>
            </w:r>
            <w:bookmarkEnd w:id="37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8" w:name="_Toc6854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2</w:t>
            </w:r>
            <w:bookmarkEnd w:id="38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highlight w:val="none"/>
                <w:lang w:eastAsia="zh-CN"/>
              </w:rPr>
              <w:t>绿色果壳箱内胆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1、</w:t>
            </w:r>
            <w:r>
              <w:rPr>
                <w:rFonts w:hint="default"/>
                <w:highlight w:val="none"/>
                <w:lang w:val="en-US" w:eastAsia="zh-CN"/>
              </w:rPr>
              <w:t>材质：玻璃钢30L绿色(采用进口耐高温颜料)，模压一次成形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2、</w:t>
            </w:r>
            <w:r>
              <w:rPr>
                <w:rFonts w:hint="default"/>
                <w:highlight w:val="none"/>
                <w:lang w:val="en-US" w:eastAsia="zh-CN"/>
              </w:rPr>
              <w:t>桶身尺寸长×宽×高：33×34×52cm（±2mm）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3、</w:t>
            </w:r>
            <w:r>
              <w:rPr>
                <w:rFonts w:hint="default"/>
                <w:highlight w:val="none"/>
                <w:lang w:val="en-US" w:eastAsia="zh-CN"/>
              </w:rPr>
              <w:t>重量：≥2.7KG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4、</w:t>
            </w:r>
            <w:r>
              <w:rPr>
                <w:rFonts w:hint="default"/>
                <w:highlight w:val="none"/>
                <w:lang w:val="en-US" w:eastAsia="zh-CN"/>
              </w:rPr>
              <w:t>桶沿翻边厚度4.5mm</w:t>
            </w:r>
            <w:r>
              <w:rPr>
                <w:rFonts w:hint="eastAsia"/>
                <w:highlight w:val="none"/>
                <w:lang w:val="en-US" w:eastAsia="zh-CN"/>
              </w:rPr>
              <w:t>（±0.5mm）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5、</w:t>
            </w:r>
            <w:r>
              <w:rPr>
                <w:rFonts w:hint="default"/>
                <w:highlight w:val="none"/>
                <w:lang w:val="en-US" w:eastAsia="zh-CN"/>
              </w:rPr>
              <w:t>产品采用SMC(玻璃钢材料)通过专用的液压机在金属模具内熔化、固化成型的工艺，成型产品具有两面光滑的表面特性、质量优异、耐火性能优越、尺寸精度高、耐腐蚀性强等特点。克服了塑料垃圾桶易被火损伤、易老化，铁垃圾桶易腐蚀等缺陷，箱体外表光滑平整，不易沾染污垢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39" w:name="_Toc14622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个</w:t>
            </w:r>
            <w:bookmarkEnd w:id="39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0" w:name="_Toc32196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3</w:t>
            </w:r>
            <w:bookmarkEnd w:id="40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1" w:name="_Toc2757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四分类垃圾桶</w:t>
            </w:r>
            <w:bookmarkEnd w:id="41"/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1、垃圾桶容积：240L±2%。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2、规格尺寸：整体尺寸：L760mm×W610mm×H1070mm(±10mm)；桶身尺寸(不含盖)：L760mm×W610mm×H1030mm(±10mm)；桶盖尺寸：L730mm×W610mm×H80mm(±5mm)。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材质：桶体及桶盖、销子需使用100%高密度聚乙烯一次性注模成型无接缝；具有耐腐蚀，耐酸碱，并有足够的机械强度和良好的冲击韧性；材料中需注入高质量防紫外线原料，颜料色素占5%以确保塑料桶颜色保持鲜艳耐久不褪色需达2年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4、重量：整体净重(含盖，不含轮子、轴)≥12.6kg；桶盖重量≥1.4kg；桶身重量(不含盖，不含轮子、轴)≥11.2kg。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桶身前后两面为凹面设计，左右两侧为凸面设计，光洁、牢固，凸面上宽400mm(±5mm),下宽300mm(±5mm)；桶体内壁设置有一次成型容积刻度，刻度为60L-240L；桶体一次性注塑成型，无接缝，具有耐腐蚀，耐酸碱，并有足够的机械强度和良好的冲击韧性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6、桶盖顶部设置三道加强筋，顶盖两侧设置两只镂空拉手，方便使用者使用；桶身提手表面有凸起防滑颗粒，增加手与垃圾桶的摩擦力。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7、垃圾桶底部为网格设计,增加了垃圾桶的承重能力；底部装有4枚40×40mm直角加强尼龙材质的耐磨钉和12枚钢制耐磨钉，减少底部磨损，延长垃圾桶使用寿命。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8、桶口处至少有24道竖直桶沿支撑，桶身挂车檐口采用三裙边设计，裙边厚度至少达到30mm；挂车口深度至少达54mm，保证了垃圾桶挂车时的强度。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9、桶体密闭有盖，桶盖与桶体采用两只插销止退连接。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10、釆用实心钢材料轮轴，表面电镀锌，防锈时间要求5年及以上。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11、滚轮釆用噪音小</w:t>
            </w:r>
            <w:bookmarkStart w:id="54" w:name="_GoBack"/>
            <w:bookmarkEnd w:id="54"/>
            <w:r>
              <w:rPr>
                <w:rFonts w:hint="eastAsia"/>
                <w:lang w:val="en-US" w:eastAsia="zh-CN"/>
              </w:rPr>
              <w:t>的橡胶实心轮，轮毂及樹圈为高密度聚乙稀材质，轮胎为100%橡胶材质，轮胎直径≥190mm，橡胶轮与底轴釆用直插防盗式连接。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12、垃圾桶轮轴上方，设置一处内凹式脚踏支点，方便使用者在使用过程中，转移或挂车垃圾桶；规格：145mm×80mm×55mm(±5mm)。</w:t>
            </w:r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both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2" w:name="_Toc6193"/>
            <w:r>
              <w:rPr>
                <w:rFonts w:hint="eastAsia"/>
                <w:highlight w:val="none"/>
                <w:lang w:val="en-US" w:eastAsia="zh-CN"/>
              </w:rPr>
              <w:t>13、样品：开标时需提供与技术参数相符的原色(不添加任何颜料)样品一个；样品须用标签贴注明投标单位名称,字样及图案样品不作要求；中标单位的样品由采购单位封存作为验收依据，未中标的样品现场原样退回。</w:t>
            </w:r>
            <w:bookmarkEnd w:id="42"/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3" w:name="_Toc26131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个</w:t>
            </w:r>
            <w:bookmarkEnd w:id="43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4" w:name="_Toc8109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2000</w:t>
            </w:r>
            <w:bookmarkEnd w:id="44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5" w:name="_Toc14352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4</w:t>
            </w:r>
            <w:bookmarkEnd w:id="45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6" w:name="_Toc21118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垃圾分类亭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(含四分类240L桶）</w:t>
            </w:r>
            <w:bookmarkEnd w:id="46"/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（一）垃圾分类亭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产品尺寸： 长3500*宽1100mm*高2400mm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±5mm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1、顶棚部件：尺寸为3500mm*1100mm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±5mm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，顶板为1.5MM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±5mm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热镀锌板，龙骨为60*60*2热镀锌管，经过激光切割，激光焊接，抛光打磨，酸洗磷化，静电喷塑等处理.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、侧板部件：立柱主体框架使用80*80*2.0mm热镀锌方管焊接而成（热镀锌方管采用2.0MM厚度Dx53D+z热镀锌板材经开平方条后，再用专用拉管设备与专用模具制作成80*80MM异形方管。一侧面带有竖条加强筋，使立柱古典庄重。）中间广告板使用≥1.5mm厚热镀锌板材激光切割，折弯而成。整体使用激光焊接，使用户外防锈蚀静电喷塑粉，深灰色主柱支撑投放亭，承受投放亭在地面固定安装，锁牢投放亭整体，支撑安全。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3、背板部件：≥1.8mm热镀锌板激光切割折弯而成，背板外框使用50*30*1.5mm热镀锌方管焊接，激光焊接后使用户外防锈蚀静电喷涂。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4、表面处理：表面静电喷塑工艺处理；粘贴环卫宣传标语；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5、宣传标识；背面围挡粘贴最新版垃圾分类宣传标识，侧面围挡粘贴垃圾分类宣传标识；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（二）四分类垃圾桶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1、规格：长2800mm；宽800mm；高1600mm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±5mm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2、底座和框架采用优质镀锌板厚度国标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1.2mm；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 、屋顶采用前后斜坡，前面高，后面低工艺方便雨水及时滑落，整体框架颜色为墨绿色。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/>
                <w:lang w:val="en-US" w:eastAsia="zh-CN"/>
              </w:rPr>
              <w:t>垃圾屋门整体采用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1.0mm厚优质镀锌板，分别为天蓝色(可回收物），灰色（其他垃圾），每扇门上都印有相对的标识以及分类颜色，大大方便居民对垃圾分类效果，两开门带三角锁，垃圾房设计美观、投放方便，投放口设有“可回收垃圾、其他垃圾、有害垃圾.标识采用丝网印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7" w:name="_Toc32479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座</w:t>
            </w:r>
            <w:bookmarkEnd w:id="47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8" w:name="_Toc21355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8</w:t>
            </w:r>
            <w:bookmarkEnd w:id="4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49" w:name="_Toc8879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5</w:t>
            </w:r>
            <w:bookmarkEnd w:id="49"/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bookmarkStart w:id="50" w:name="_Toc94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三分类垃圾收集箱</w:t>
            </w:r>
            <w:bookmarkEnd w:id="50"/>
          </w:p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51" w:name="_Toc11853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（含三分类120L桶）</w:t>
            </w:r>
            <w:bookmarkEnd w:id="51"/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收集箱：长1800×宽580×高1400mm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±5mm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120L塑料垃圾桶：605×490×830mm（±5mm）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产品材质：优质镀锌钢板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箱体整体选用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1.0MM优质镀锌钢板制作，箱体内部龙骨采用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t>1.5MM30*30镀锌矩形管制作，经激光切割、折弯、焊接成型。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default"/>
                <w:lang w:val="en-US" w:eastAsia="zh-CN"/>
              </w:rPr>
              <w:t>箱体三分类设计，箱体内部可放置3只120L塑料垃圾桶，要求塑料桶进出箱门灵活方便，箱体投递口配有活动挡板，活动挡板可自动回位。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default"/>
                <w:lang w:val="en-US" w:eastAsia="zh-CN"/>
              </w:rPr>
              <w:t>箱体底部设有膨胀螺丝固定梁，保证果皮箱与地面的链接强度。</w:t>
            </w:r>
          </w:p>
          <w:p>
            <w:pPr>
              <w:bidi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default"/>
                <w:lang w:val="en-US" w:eastAsia="zh-CN"/>
              </w:rPr>
              <w:t>支持外观图案定制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外观图案中标后由采购人提供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default"/>
                <w:lang w:val="en-US" w:eastAsia="zh-CN"/>
              </w:rPr>
              <w:t>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52" w:name="_Toc4921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组</w:t>
            </w:r>
            <w:bookmarkEnd w:id="52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adjustRightInd w:val="0"/>
              <w:snapToGrid w:val="0"/>
              <w:spacing w:line="360" w:lineRule="auto"/>
              <w:jc w:val="center"/>
              <w:outlineLvl w:val="0"/>
              <w:rPr>
                <w:rFonts w:hint="default" w:ascii="宋体" w:hAnsi="宋体"/>
                <w:color w:val="auto"/>
                <w:sz w:val="24"/>
                <w:highlight w:val="none"/>
                <w:lang w:eastAsia="zh-CN"/>
              </w:rPr>
            </w:pPr>
            <w:bookmarkStart w:id="53" w:name="_Toc3389"/>
            <w:r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  <w:t>20</w:t>
            </w:r>
            <w:bookmarkEnd w:id="53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C91B8"/>
    <w:multiLevelType w:val="singleLevel"/>
    <w:tmpl w:val="D0FC91B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7A2971"/>
    <w:multiLevelType w:val="singleLevel"/>
    <w:tmpl w:val="1F7A297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44B6"/>
    <w:rsid w:val="4BC544B6"/>
    <w:rsid w:val="6BD5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2021-11-08T02:51:00Z</dcterms:created>
  <dc:creator>谢艾佳</dc:creator>
  <cp:lastModifiedBy>Admin</cp:lastModifiedBy>
  <dcterms:modified xsi:type="dcterms:W3CDTF">2021-11-09T01:06:00Z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43E836A78E4946278F678209C2086B2F</vt:lpwstr>
  </property>
</Properties>
</file>